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48" w:rsidRPr="002A4AC3" w:rsidRDefault="00961448" w:rsidP="00961448">
      <w:pPr>
        <w:spacing w:after="160"/>
        <w:ind w:left="1094" w:hanging="1094"/>
        <w:jc w:val="center"/>
        <w:rPr>
          <w:b/>
        </w:rPr>
      </w:pPr>
      <w:bookmarkStart w:id="0" w:name="_GoBack"/>
      <w:bookmarkEnd w:id="0"/>
      <w:r>
        <w:rPr>
          <w:b/>
        </w:rPr>
        <w:t>Kenai Peninsula Borough School District</w:t>
      </w:r>
    </w:p>
    <w:p w:rsidR="00D202A4" w:rsidRDefault="00961448" w:rsidP="00961448">
      <w:pPr>
        <w:spacing w:after="160"/>
        <w:ind w:left="1094" w:hanging="1094"/>
        <w:jc w:val="center"/>
      </w:pPr>
      <w:r>
        <w:t>Assessment Quality Assurance Guide</w:t>
      </w:r>
    </w:p>
    <w:p w:rsidR="00961448" w:rsidRDefault="00961448" w:rsidP="00961448">
      <w:pPr>
        <w:jc w:val="center"/>
      </w:pPr>
    </w:p>
    <w:tbl>
      <w:tblPr>
        <w:tblStyle w:val="TableGrid"/>
        <w:tblpPr w:leftFromText="180" w:rightFromText="180" w:vertAnchor="text" w:horzAnchor="margin" w:tblpXSpec="center" w:tblpY="113"/>
        <w:tblW w:w="9733" w:type="dxa"/>
        <w:tblInd w:w="0" w:type="dxa"/>
        <w:tblCellMar>
          <w:top w:w="36" w:type="dxa"/>
          <w:left w:w="106" w:type="dxa"/>
          <w:right w:w="18" w:type="dxa"/>
        </w:tblCellMar>
        <w:tblLook w:val="04A0" w:firstRow="1" w:lastRow="0" w:firstColumn="1" w:lastColumn="0" w:noHBand="0" w:noVBand="1"/>
      </w:tblPr>
      <w:tblGrid>
        <w:gridCol w:w="647"/>
        <w:gridCol w:w="1080"/>
        <w:gridCol w:w="718"/>
        <w:gridCol w:w="2611"/>
        <w:gridCol w:w="1618"/>
        <w:gridCol w:w="3059"/>
      </w:tblGrid>
      <w:tr w:rsidR="00961448" w:rsidTr="00961448">
        <w:trPr>
          <w:trHeight w:val="452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  <w:sz w:val="24"/>
              </w:rPr>
              <w:t>Teacher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2" w:firstLine="0"/>
            </w:pPr>
            <w:r>
              <w:rPr>
                <w:b/>
                <w:sz w:val="24"/>
              </w:rPr>
              <w:t xml:space="preserve">School Year 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961448" w:rsidTr="00961448">
        <w:trPr>
          <w:trHeight w:val="455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  <w:sz w:val="24"/>
              </w:rPr>
              <w:t>Subject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2" w:firstLine="0"/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961448" w:rsidTr="00961448">
        <w:trPr>
          <w:trHeight w:val="453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Team (if applicable)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  <w:rPr>
                <w:sz w:val="24"/>
              </w:rPr>
            </w:pPr>
          </w:p>
        </w:tc>
      </w:tr>
      <w:tr w:rsidR="00961448" w:rsidTr="00961448">
        <w:trPr>
          <w:trHeight w:val="453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  <w:sz w:val="24"/>
              </w:rPr>
              <w:t xml:space="preserve">Assessment Title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961448" w:rsidTr="00961448">
        <w:trPr>
          <w:trHeight w:val="195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961448" w:rsidTr="00961448">
        <w:trPr>
          <w:trHeight w:val="330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</w:rPr>
              <w:t xml:space="preserve">Alignment to standards:  </w:t>
            </w:r>
            <w:r>
              <w:t xml:space="preserve">Is the Learning Objective clearly reflected in the assessment measure? </w:t>
            </w:r>
          </w:p>
        </w:tc>
      </w:tr>
      <w:tr w:rsidR="00961448" w:rsidTr="00961448">
        <w:trPr>
          <w:trHeight w:val="292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t xml:space="preserve">Yes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Partially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No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961448" w:rsidTr="00961448">
        <w:trPr>
          <w:trHeight w:val="28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All items in the assessment align to the standard(s) addressed in the Student Growth Map (SGM). </w:t>
            </w:r>
          </w:p>
        </w:tc>
      </w:tr>
      <w:tr w:rsidR="00961448" w:rsidTr="00961448">
        <w:trPr>
          <w:trHeight w:val="55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right="28" w:firstLine="0"/>
            </w:pPr>
            <w:r>
              <w:t xml:space="preserve">The assessment measure addresses the full range of topics and skills included in the SGM. </w:t>
            </w:r>
          </w:p>
        </w:tc>
      </w:tr>
      <w:tr w:rsidR="00961448" w:rsidTr="00961448">
        <w:trPr>
          <w:trHeight w:val="55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right="90" w:firstLine="0"/>
            </w:pPr>
            <w:r>
              <w:t xml:space="preserve">The focus of the assessment mirrors the focus of the curriculum and standards. </w:t>
            </w:r>
          </w:p>
        </w:tc>
      </w:tr>
      <w:tr w:rsidR="00961448" w:rsidTr="00961448">
        <w:trPr>
          <w:trHeight w:val="55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  <w:jc w:val="both"/>
            </w:pPr>
            <w:r>
              <w:t>The items or task match the full range of cognitive thinking expected during the time frame of the SGM.</w:t>
            </w:r>
          </w:p>
        </w:tc>
      </w:tr>
      <w:tr w:rsidR="00961448" w:rsidTr="00961448">
        <w:trPr>
          <w:trHeight w:val="55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right="74" w:firstLine="0"/>
            </w:pPr>
            <w:r>
              <w:t xml:space="preserve">The assessment requires the students to engage in higher order thinking where appropriate. </w:t>
            </w:r>
          </w:p>
        </w:tc>
      </w:tr>
      <w:tr w:rsidR="00961448" w:rsidTr="00961448">
        <w:trPr>
          <w:trHeight w:val="559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t xml:space="preserve">Comments: </w:t>
            </w:r>
          </w:p>
          <w:p w:rsidR="00961448" w:rsidRDefault="00961448" w:rsidP="0096144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1448" w:rsidTr="00961448">
        <w:trPr>
          <w:trHeight w:val="285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</w:rPr>
              <w:t xml:space="preserve">Stretch:  </w:t>
            </w:r>
            <w:r>
              <w:t>Will all students be able to demonstrate growth on this assessment?</w:t>
            </w:r>
            <w:r>
              <w:rPr>
                <w:b/>
              </w:rPr>
              <w:t xml:space="preserve"> </w:t>
            </w:r>
          </w:p>
        </w:tc>
      </w:tr>
      <w:tr w:rsidR="00961448" w:rsidTr="00961448">
        <w:trPr>
          <w:trHeight w:val="291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t xml:space="preserve">Yes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Partially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No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961448" w:rsidTr="00961448">
        <w:trPr>
          <w:trHeight w:val="826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>The test includes items that cover prerequisite knowledge and skills from prior years and appropriate, content relevant items that will challenge the highest performing students, where applicable.</w:t>
            </w:r>
          </w:p>
        </w:tc>
      </w:tr>
      <w:tr w:rsidR="00961448" w:rsidTr="00961448">
        <w:trPr>
          <w:trHeight w:val="559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t xml:space="preserve">Comments: </w:t>
            </w:r>
          </w:p>
          <w:p w:rsidR="00961448" w:rsidRDefault="00961448" w:rsidP="00961448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1448" w:rsidTr="00961448">
        <w:trPr>
          <w:trHeight w:val="283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8"/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b/>
              </w:rPr>
              <w:t xml:space="preserve">Validity and Reliability:  </w:t>
            </w:r>
            <w:r>
              <w:t xml:space="preserve">Is the assessment measure a valid and reliable tool for the intended purpose? </w:t>
            </w:r>
          </w:p>
        </w:tc>
      </w:tr>
      <w:tr w:rsidR="00961448" w:rsidTr="00961448">
        <w:trPr>
          <w:trHeight w:val="292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  <w:jc w:val="both"/>
            </w:pPr>
            <w:r>
              <w:t>Yes</w:t>
            </w: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Partially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No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961448" w:rsidTr="00961448">
        <w:trPr>
          <w:trHeight w:val="28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Assessment is written using appropriate grade and content-level vocabulary. </w:t>
            </w:r>
          </w:p>
        </w:tc>
      </w:tr>
      <w:tr w:rsidR="00961448" w:rsidTr="00961448">
        <w:trPr>
          <w:trHeight w:val="28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Items or tasks are written clearly and concisely. </w:t>
            </w:r>
          </w:p>
        </w:tc>
      </w:tr>
      <w:tr w:rsidR="00961448" w:rsidTr="00961448">
        <w:trPr>
          <w:trHeight w:val="557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Clear scoring rubrics or guidance exist for open‐ended questions or performance‐based assessments. </w:t>
            </w:r>
          </w:p>
        </w:tc>
      </w:tr>
      <w:tr w:rsidR="00961448" w:rsidTr="00961448">
        <w:trPr>
          <w:trHeight w:val="28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rPr>
                <w:rFonts w:ascii="Wingdings" w:eastAsia="Wingdings" w:hAnsi="Wingdings" w:cs="Wingdings"/>
              </w:rPr>
              <w:t>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5" w:firstLine="0"/>
            </w:pPr>
            <w:r>
              <w:t xml:space="preserve">A teacher can administer the assessment consistently across classes. </w:t>
            </w:r>
          </w:p>
        </w:tc>
      </w:tr>
      <w:tr w:rsidR="00961448" w:rsidTr="00961448">
        <w:trPr>
          <w:trHeight w:val="557"/>
        </w:trPr>
        <w:tc>
          <w:tcPr>
            <w:tcW w:w="97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1448" w:rsidRDefault="00961448" w:rsidP="00961448">
            <w:pPr>
              <w:spacing w:after="0"/>
              <w:ind w:left="0" w:firstLine="0"/>
            </w:pPr>
            <w:r>
              <w:t xml:space="preserve">Comments: </w:t>
            </w:r>
          </w:p>
          <w:p w:rsidR="00961448" w:rsidRDefault="00961448" w:rsidP="00961448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D202A4" w:rsidRDefault="00D202A4" w:rsidP="00961448">
      <w:pPr>
        <w:tabs>
          <w:tab w:val="right" w:pos="9360"/>
        </w:tabs>
        <w:ind w:left="0" w:firstLine="0"/>
      </w:pPr>
    </w:p>
    <w:sectPr w:rsidR="00D202A4" w:rsidSect="00961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48" w:rsidRDefault="00961448" w:rsidP="00961448">
      <w:pPr>
        <w:spacing w:after="0" w:line="240" w:lineRule="auto"/>
      </w:pPr>
      <w:r>
        <w:separator/>
      </w:r>
    </w:p>
  </w:endnote>
  <w:endnote w:type="continuationSeparator" w:id="0">
    <w:p w:rsidR="00961448" w:rsidRDefault="00961448" w:rsidP="0096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CE" w:rsidRDefault="009671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48" w:rsidRDefault="009671CE" w:rsidP="00961448">
    <w:pPr>
      <w:pStyle w:val="Footer"/>
      <w:ind w:lef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73DA34" wp14:editId="0986D130">
              <wp:simplePos x="0" y="0"/>
              <wp:positionH relativeFrom="page">
                <wp:posOffset>388189</wp:posOffset>
              </wp:positionH>
              <wp:positionV relativeFrom="bottomMargin">
                <wp:posOffset>30444</wp:posOffset>
              </wp:positionV>
              <wp:extent cx="7388032" cy="448572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8032" cy="448572"/>
                        <a:chOff x="-1216407" y="-146851"/>
                        <a:chExt cx="7388607" cy="449593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-146851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-1216407" y="-94975"/>
                          <a:ext cx="7064777" cy="397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448" w:rsidRDefault="0063505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61448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KPBSD</w:t>
                                </w:r>
                              </w:sdtContent>
                            </w:sdt>
                            <w:r w:rsidR="0096144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6144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3.10.15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73DA34" id="Group 164" o:spid="_x0000_s1026" style="position:absolute;margin-left:30.55pt;margin-top:2.4pt;width:581.75pt;height:35.3pt;z-index:251659264;mso-position-horizontal-relative:page;mso-position-vertical-relative:bottom-margin-area;mso-width-relative:margin;mso-height-relative:margin" coordorigin="-12164,-1468" coordsize="73886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">
              <v:rect id="Rectangle 165" o:spid="_x0000_s1027" style="position:absolute;left:2286;top:-1468;width:59436;height:27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left:-12164;top:-949;width:70647;height:3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cm8AA&#10;AADcAAAADwAAAGRycy9kb3ducmV2LnhtbERPS4vCMBC+C/sfwix4s6l7KNo1igg+Dl58LOxxaKYP&#10;tpmUJFvrvzeC4G0+vucsVoNpRU/ON5YVTJMUBHFhdcOVgutlO5mB8AFZY2uZFNzJw2r5MVpgru2N&#10;T9SfQyViCPscFdQhdLmUvqjJoE9sRxy50jqDIUJXSe3wFsNNK7/SNJMGG44NNXa0qan4O/8bBcGX&#10;7Xam9/rYrX92O1f1c/otlRp/DutvEIGG8Ba/3Acd52cZPJ+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xcm8AAAADcAAAADwAAAAAAAAAAAAAAAACYAgAAZHJzL2Rvd25y&#10;ZXYueG1sUEsFBgAAAAAEAAQA9QAAAIUDAAAAAA==&#10;" filled="f" stroked="f" strokeweight=".5pt">
                <v:textbox inset="0,,0">
                  <w:txbxContent>
                    <w:p w:rsidR="00961448" w:rsidRDefault="0096144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KPBSD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3.10.15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961448">
      <w:t xml:space="preserve">Modified from AK DEED’s </w:t>
    </w:r>
  </w:p>
  <w:p w:rsidR="00961448" w:rsidRDefault="00961448" w:rsidP="00961448">
    <w:pPr>
      <w:pStyle w:val="Footer"/>
      <w:ind w:left="0" w:firstLine="0"/>
    </w:pPr>
    <w:r>
      <w:t>Quality Assurance Checklist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CE" w:rsidRDefault="009671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48" w:rsidRDefault="00961448" w:rsidP="00961448">
      <w:pPr>
        <w:spacing w:after="0" w:line="240" w:lineRule="auto"/>
      </w:pPr>
      <w:r>
        <w:separator/>
      </w:r>
    </w:p>
  </w:footnote>
  <w:footnote w:type="continuationSeparator" w:id="0">
    <w:p w:rsidR="00961448" w:rsidRDefault="00961448" w:rsidP="00961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CE" w:rsidRDefault="00967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CE" w:rsidRDefault="009671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CE" w:rsidRDefault="00967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4"/>
    <w:rsid w:val="002017A5"/>
    <w:rsid w:val="00635050"/>
    <w:rsid w:val="00961448"/>
    <w:rsid w:val="009671CE"/>
    <w:rsid w:val="00D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28A8C47-0D38-489B-80FA-CE8BABD6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90" w:hanging="109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44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61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44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2568-11CB-4D35-BE73-F496F641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KPBSD</vt:lpstr>
    </vt:vector>
  </TitlesOfParts>
  <Company>KPBSD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KPBSD</dc:title>
  <dc:subject>3.10.15</dc:subject>
  <dc:creator>slmeredith</dc:creator>
  <cp:keywords/>
  <cp:lastModifiedBy>Christine Ermold</cp:lastModifiedBy>
  <cp:revision>2</cp:revision>
  <cp:lastPrinted>2015-05-22T19:22:00Z</cp:lastPrinted>
  <dcterms:created xsi:type="dcterms:W3CDTF">2015-07-09T20:17:00Z</dcterms:created>
  <dcterms:modified xsi:type="dcterms:W3CDTF">2015-07-09T20:17:00Z</dcterms:modified>
</cp:coreProperties>
</file>