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232A" w:rsidRDefault="003707DE">
      <w:pPr>
        <w:tabs>
          <w:tab w:val="left" w:pos="2070"/>
        </w:tabs>
        <w:rPr>
          <w:rFonts w:ascii="BookmanOldStyle-Bold" w:eastAsia="BookmanOldStyle-Bold" w:hAnsi="BookmanOldStyle-Bold" w:cs="BookmanOldStyle-Bold"/>
          <w:b/>
          <w:sz w:val="28"/>
          <w:szCs w:val="28"/>
        </w:rPr>
      </w:pPr>
      <w:r>
        <w:rPr>
          <w:rFonts w:ascii="BookmanOldStyle-Bold" w:eastAsia="BookmanOldStyle-Bold" w:hAnsi="BookmanOldStyle-Bold" w:cs="BookmanOldStyle-Bold"/>
          <w:b/>
          <w:noProof/>
          <w:sz w:val="28"/>
          <w:szCs w:val="28"/>
        </w:rPr>
        <w:drawing>
          <wp:inline distT="0" distB="0" distL="0" distR="0">
            <wp:extent cx="1365333" cy="1279999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333" cy="1279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-50799</wp:posOffset>
                </wp:positionV>
                <wp:extent cx="3678555" cy="130492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1485" y="3132300"/>
                          <a:ext cx="36690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9896C7" w14:textId="77777777" w:rsidR="0082232A" w:rsidRDefault="003707DE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MOUNTAIN VIEW ELEMENTARY SCHOOL</w:t>
                            </w:r>
                          </w:p>
                          <w:p w14:paraId="75DD1E5E" w14:textId="77777777" w:rsidR="0082232A" w:rsidRDefault="003707DE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In-service</w:t>
                            </w:r>
                          </w:p>
                          <w:p w14:paraId="3EE2E054" w14:textId="77777777" w:rsidR="0082232A" w:rsidRDefault="003707DE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08/12/2021</w:t>
                            </w:r>
                          </w:p>
                          <w:p w14:paraId="20C4CAD0" w14:textId="77777777" w:rsidR="0082232A" w:rsidRDefault="0082232A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-50799</wp:posOffset>
                </wp:positionV>
                <wp:extent cx="3678555" cy="13049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8555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2" w14:textId="77777777" w:rsidR="0082232A" w:rsidRDefault="003707DE">
      <w:pPr>
        <w:spacing w:after="0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The mission of the Kenai Peninsula Borough School District is to empower all learners to positively shape their futures.</w:t>
      </w:r>
    </w:p>
    <w:p w14:paraId="00000003" w14:textId="77777777" w:rsidR="0082232A" w:rsidRDefault="003707DE">
      <w:pPr>
        <w:spacing w:after="0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AGENDA</w:t>
      </w:r>
    </w:p>
    <w:tbl>
      <w:tblPr>
        <w:tblStyle w:val="a"/>
        <w:tblW w:w="10780" w:type="dxa"/>
        <w:jc w:val="center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4377"/>
        <w:gridCol w:w="4377"/>
      </w:tblGrid>
      <w:tr w:rsidR="003707DE" w14:paraId="38A54E4D" w14:textId="11FAACB4" w:rsidTr="00370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14:paraId="00000004" w14:textId="77777777" w:rsidR="003707DE" w:rsidRDefault="003707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Time</w:t>
            </w:r>
          </w:p>
        </w:tc>
        <w:tc>
          <w:tcPr>
            <w:tcW w:w="4377" w:type="dxa"/>
          </w:tcPr>
          <w:p w14:paraId="00000005" w14:textId="77777777" w:rsidR="003707DE" w:rsidRDefault="003707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Presentation</w:t>
            </w:r>
          </w:p>
        </w:tc>
        <w:tc>
          <w:tcPr>
            <w:tcW w:w="4377" w:type="dxa"/>
          </w:tcPr>
          <w:p w14:paraId="58C02019" w14:textId="00D3EB52" w:rsidR="003707DE" w:rsidRDefault="003707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Speaker</w:t>
            </w:r>
          </w:p>
        </w:tc>
      </w:tr>
      <w:tr w:rsidR="003707DE" w14:paraId="38B9B76A" w14:textId="5D9C4D73" w:rsidTr="00370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14:paraId="00000006" w14:textId="77777777" w:rsidR="003707DE" w:rsidRDefault="003707DE">
            <w:r>
              <w:t>9:00-12:00</w:t>
            </w:r>
          </w:p>
          <w:p w14:paraId="00000007" w14:textId="77777777" w:rsidR="003707DE" w:rsidRDefault="003707DE"/>
          <w:p w14:paraId="00000008" w14:textId="77777777" w:rsidR="003707DE" w:rsidRDefault="003707DE"/>
          <w:p w14:paraId="00000009" w14:textId="77777777" w:rsidR="003707DE" w:rsidRDefault="003707DE"/>
          <w:p w14:paraId="0000000A" w14:textId="77777777" w:rsidR="003707DE" w:rsidRDefault="003707DE"/>
          <w:p w14:paraId="0000000B" w14:textId="77777777" w:rsidR="003707DE" w:rsidRDefault="003707DE"/>
          <w:p w14:paraId="0000000C" w14:textId="77777777" w:rsidR="003707DE" w:rsidRDefault="003707DE"/>
          <w:p w14:paraId="0000000D" w14:textId="77777777" w:rsidR="003707DE" w:rsidRDefault="003707DE"/>
          <w:p w14:paraId="0000000E" w14:textId="77777777" w:rsidR="003707DE" w:rsidRDefault="003707DE"/>
          <w:p w14:paraId="0000000F" w14:textId="77777777" w:rsidR="003707DE" w:rsidRDefault="003707DE"/>
          <w:p w14:paraId="00000010" w14:textId="77777777" w:rsidR="003707DE" w:rsidRDefault="003707DE"/>
          <w:p w14:paraId="00000011" w14:textId="77777777" w:rsidR="003707DE" w:rsidRDefault="003707DE"/>
          <w:p w14:paraId="00000012" w14:textId="77777777" w:rsidR="003707DE" w:rsidRDefault="003707DE"/>
          <w:p w14:paraId="00000013" w14:textId="77777777" w:rsidR="003707DE" w:rsidRDefault="003707DE"/>
          <w:p w14:paraId="00000014" w14:textId="77777777" w:rsidR="003707DE" w:rsidRDefault="003707DE"/>
          <w:p w14:paraId="0000001C" w14:textId="77777777" w:rsidR="003707DE" w:rsidRDefault="003707DE"/>
          <w:p w14:paraId="0000001D" w14:textId="3A3E5E77" w:rsidR="003707DE" w:rsidRDefault="003707DE"/>
        </w:tc>
        <w:tc>
          <w:tcPr>
            <w:tcW w:w="4377" w:type="dxa"/>
          </w:tcPr>
          <w:p w14:paraId="0000001E" w14:textId="77777777" w:rsidR="003707DE" w:rsidRDefault="003707DE">
            <w:pPr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b/>
              </w:rPr>
              <w:t>Climate Committee</w:t>
            </w:r>
          </w:p>
          <w:p w14:paraId="0000001F" w14:textId="77777777" w:rsidR="003707DE" w:rsidRDefault="003707DE">
            <w:pPr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b/>
              </w:rPr>
              <w:t>Computer/iPad usage/Maintenance</w:t>
            </w:r>
          </w:p>
          <w:p w14:paraId="00000020" w14:textId="77777777" w:rsidR="003707DE" w:rsidRDefault="003707DE">
            <w:pPr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b/>
              </w:rPr>
              <w:t>First Day Logistics</w:t>
            </w:r>
          </w:p>
          <w:p w14:paraId="00000021" w14:textId="77777777" w:rsidR="003707DE" w:rsidRDefault="003707DE">
            <w:pPr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Upcoming Events</w:t>
            </w:r>
          </w:p>
          <w:p w14:paraId="00000022" w14:textId="77777777" w:rsidR="003707DE" w:rsidRDefault="003707DE">
            <w:pPr>
              <w:numPr>
                <w:ilvl w:val="1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Ice Cream Social </w:t>
            </w:r>
          </w:p>
          <w:p w14:paraId="00000023" w14:textId="77777777" w:rsidR="003707DE" w:rsidRDefault="003707DE">
            <w:pPr>
              <w:numPr>
                <w:ilvl w:val="1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Other...</w:t>
            </w:r>
          </w:p>
          <w:p w14:paraId="00000024" w14:textId="77777777" w:rsidR="003707DE" w:rsidRDefault="003707DE">
            <w:pPr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b/>
              </w:rPr>
              <w:t>School-Wide Schedule/Duty Schedule</w:t>
            </w:r>
          </w:p>
          <w:p w14:paraId="00000025" w14:textId="77777777" w:rsidR="003707DE" w:rsidRDefault="003707DE">
            <w:pPr>
              <w:numPr>
                <w:ilvl w:val="1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b/>
              </w:rPr>
              <w:t>Return to cafeteria</w:t>
            </w:r>
          </w:p>
          <w:p w14:paraId="00000026" w14:textId="77777777" w:rsidR="003707DE" w:rsidRDefault="003707DE">
            <w:pPr>
              <w:numPr>
                <w:ilvl w:val="1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b/>
              </w:rPr>
              <w:t>Return to six special blocks</w:t>
            </w:r>
          </w:p>
          <w:p w14:paraId="00000027" w14:textId="77777777" w:rsidR="003707DE" w:rsidRDefault="003707DE">
            <w:pPr>
              <w:numPr>
                <w:ilvl w:val="1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b/>
              </w:rPr>
              <w:t>Recess duty protocol</w:t>
            </w:r>
          </w:p>
          <w:p w14:paraId="00000028" w14:textId="77777777" w:rsidR="003707DE" w:rsidRDefault="003707DE">
            <w:pPr>
              <w:numPr>
                <w:ilvl w:val="1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b/>
              </w:rPr>
              <w:t>Hallway Expectations</w:t>
            </w:r>
          </w:p>
          <w:p w14:paraId="00000029" w14:textId="77777777" w:rsidR="003707DE" w:rsidRDefault="003707DE">
            <w:pPr>
              <w:numPr>
                <w:ilvl w:val="1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b/>
              </w:rPr>
              <w:t xml:space="preserve">Maintain Pick-up &amp; Drop-off </w:t>
            </w:r>
          </w:p>
          <w:p w14:paraId="0000002A" w14:textId="77777777" w:rsidR="003707DE" w:rsidRDefault="003707DE">
            <w:pPr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Emergency Action Plan</w:t>
            </w:r>
          </w:p>
          <w:p w14:paraId="00000033" w14:textId="64D5B72A" w:rsidR="003707DE" w:rsidRPr="003707DE" w:rsidRDefault="003707DE" w:rsidP="003707DE">
            <w:pPr>
              <w:numPr>
                <w:ilvl w:val="1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EAP Team Member meeting</w:t>
            </w:r>
          </w:p>
          <w:p w14:paraId="00000034" w14:textId="77777777" w:rsidR="003707DE" w:rsidRDefault="00370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0000035" w14:textId="77777777" w:rsidR="003707DE" w:rsidRDefault="00370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77" w:type="dxa"/>
          </w:tcPr>
          <w:p w14:paraId="505423F8" w14:textId="4DE9C814" w:rsidR="003707DE" w:rsidRDefault="003707DE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Karl Kircher &amp; Hannah Dolphin </w:t>
            </w:r>
          </w:p>
        </w:tc>
      </w:tr>
      <w:tr w:rsidR="003707DE" w14:paraId="47BE365F" w14:textId="46F4D036" w:rsidTr="00370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14:paraId="00000036" w14:textId="77777777" w:rsidR="003707DE" w:rsidRDefault="003707DE">
            <w:pPr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14:paraId="00000037" w14:textId="77777777" w:rsidR="003707DE" w:rsidRDefault="003707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38E48FC5" w14:textId="77777777" w:rsidR="003707DE" w:rsidRDefault="003707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00000038" w14:textId="77777777" w:rsidR="0082232A" w:rsidRDefault="0082232A">
      <w:pPr>
        <w:rPr>
          <w:b/>
          <w:sz w:val="24"/>
          <w:szCs w:val="24"/>
        </w:rPr>
      </w:pPr>
    </w:p>
    <w:sectPr w:rsidR="0082232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OldStyle-Bold">
    <w:altName w:val="Cambria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7816"/>
    <w:multiLevelType w:val="multilevel"/>
    <w:tmpl w:val="6B3E8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716055C"/>
    <w:multiLevelType w:val="multilevel"/>
    <w:tmpl w:val="94980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2A"/>
    <w:rsid w:val="003707DE"/>
    <w:rsid w:val="008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A7D9"/>
  <w15:docId w15:val="{65420DFE-FEA0-4B00-95BB-50B190CC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71A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ediumShading1-Accent4">
    <w:name w:val="Medium Shading 1 Accent 4"/>
    <w:basedOn w:val="TableNormal"/>
    <w:uiPriority w:val="63"/>
    <w:rsid w:val="00CF67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8D9F2" w:themeColor="accent4" w:themeTint="BF"/>
        <w:left w:val="single" w:sz="8" w:space="0" w:color="98D9F2" w:themeColor="accent4" w:themeTint="BF"/>
        <w:bottom w:val="single" w:sz="8" w:space="0" w:color="98D9F2" w:themeColor="accent4" w:themeTint="BF"/>
        <w:right w:val="single" w:sz="8" w:space="0" w:color="98D9F2" w:themeColor="accent4" w:themeTint="BF"/>
        <w:insideH w:val="single" w:sz="8" w:space="0" w:color="98D9F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  <w:shd w:val="clear" w:color="auto" w:fill="76CDE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1A"/>
    <w:rPr>
      <w:rFonts w:ascii="Tahoma" w:eastAsiaTheme="minorEastAsia" w:hAnsi="Tahoma" w:cs="Tahoma"/>
      <w:sz w:val="16"/>
      <w:szCs w:val="16"/>
    </w:rPr>
  </w:style>
  <w:style w:type="table" w:styleId="ListTable7Colorful-Accent5">
    <w:name w:val="List Table 7 Colorful Accent 5"/>
    <w:basedOn w:val="TableNormal"/>
    <w:uiPriority w:val="52"/>
    <w:rsid w:val="00A81E12"/>
    <w:pPr>
      <w:spacing w:after="0" w:line="240" w:lineRule="auto"/>
    </w:pPr>
    <w:rPr>
      <w:color w:val="26AFE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5" w:themeFillTint="33"/>
      </w:tcPr>
    </w:tblStylePr>
    <w:tblStylePr w:type="band1Horz">
      <w:tblPr/>
      <w:tcPr>
        <w:shd w:val="clear" w:color="auto" w:fill="E3F4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1451"/>
    <w:pPr>
      <w:spacing w:after="0" w:line="240" w:lineRule="auto"/>
    </w:pPr>
    <w:rPr>
      <w:color w:val="26AFE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7566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FD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9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18B"/>
    <w:rPr>
      <w:color w:val="76CDE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1481AB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98D9F2"/>
          <w:left w:val="single" w:sz="8" w:space="0" w:color="98D9F2"/>
          <w:bottom w:val="single" w:sz="8" w:space="0" w:color="98D9F2"/>
          <w:right w:val="single" w:sz="8" w:space="0" w:color="98D9F2"/>
          <w:insideH w:val="nil"/>
          <w:insideV w:val="nil"/>
        </w:tcBorders>
        <w:shd w:val="clear" w:color="auto" w:fill="76CDEE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8D9F2"/>
          <w:left w:val="single" w:sz="8" w:space="0" w:color="98D9F2"/>
          <w:bottom w:val="single" w:sz="8" w:space="0" w:color="98D9F2"/>
          <w:right w:val="single" w:sz="8" w:space="0" w:color="98D9F2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DF2FA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FA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76CDEE"/>
      </a:dk1>
      <a:lt1>
        <a:sysClr val="window" lastClr="FFFFFF"/>
      </a:lt1>
      <a:dk2>
        <a:srgbClr val="76CDEE"/>
      </a:dk2>
      <a:lt2>
        <a:srgbClr val="FFFFFF"/>
      </a:lt2>
      <a:accent1>
        <a:srgbClr val="1CADE4"/>
      </a:accent1>
      <a:accent2>
        <a:srgbClr val="1CADE4"/>
      </a:accent2>
      <a:accent3>
        <a:srgbClr val="76CDEE"/>
      </a:accent3>
      <a:accent4>
        <a:srgbClr val="76CDEE"/>
      </a:accent4>
      <a:accent5>
        <a:srgbClr val="76CDEE"/>
      </a:accent5>
      <a:accent6>
        <a:srgbClr val="76CDEE"/>
      </a:accent6>
      <a:hlink>
        <a:srgbClr val="76CDEE"/>
      </a:hlink>
      <a:folHlink>
        <a:srgbClr val="76CDE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4v/pdW+G8Cn7t0lYYaw+YAefg==">AMUW2mVyTXyXHLwk8EJnxizs7BLha0CxdC5vQnYtwX+IGx+0CLV80xomZ+VG5xvN2E7FwcTkKz70sc4hiL4FrEYQo9AfrFGPOm0KFojcSSD9FsHylHAfvtY=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Bates</dc:creator>
  <cp:lastModifiedBy>Hannah Dolphin</cp:lastModifiedBy>
  <cp:revision>2</cp:revision>
  <dcterms:created xsi:type="dcterms:W3CDTF">2021-07-29T23:33:00Z</dcterms:created>
  <dcterms:modified xsi:type="dcterms:W3CDTF">2021-08-20T20:03:00Z</dcterms:modified>
</cp:coreProperties>
</file>